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10.png" ContentType="image/png"/>
  <Override PartName="/word/media/image7.png" ContentType="image/png"/>
  <Override PartName="/word/media/image11.png" ContentType="image/png"/>
  <Override PartName="/word/media/image8.png" ContentType="image/png"/>
  <Override PartName="/word/media/image12.png" ContentType="image/png"/>
  <Override PartName="/word/media/image9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;Times New Roman" w:hAnsi="Times New Roman;Times New Roman" w:eastAsia="新宋体;新宋体" w:cs="Times New Roman;Times New Roman"/>
          <w:b/>
          <w:sz w:val="30"/>
          <w:szCs w:val="30"/>
        </w:rPr>
      </w:pPr>
      <w:r>
        <w:rPr>
          <w:rFonts w:ascii="Times New Roman;Times New Roman" w:hAnsi="Times New Roman;Times New Roman" w:cs="Times New Roman;Times New Roman" w:eastAsia="新宋体;新宋体"/>
          <w:b/>
          <w:sz w:val="30"/>
          <w:szCs w:val="30"/>
        </w:rPr>
        <w:t>先秦——唐朝</w:t>
      </w:r>
    </w:p>
    <w:p>
      <w:pPr>
        <w:pStyle w:val="Normal"/>
        <w:spacing w:lineRule="auto" w:line="360"/>
        <w:rPr>
          <w:rFonts w:ascii="Times New Roman;Times New Roman" w:hAnsi="Times New Roman;Times New Roman" w:eastAsia="新宋体;新宋体" w:cs="Times New Roman;Times New Roman"/>
          <w:b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b/>
          <w:szCs w:val="21"/>
        </w:rPr>
        <w:t>一．选择题（共</w:t>
      </w:r>
      <w:r>
        <w:rPr>
          <w:rFonts w:eastAsia="新宋体;新宋体" w:cs="Times New Roman;Times New Roman" w:ascii="Times New Roman;Times New Roman" w:hAnsi="Times New Roman;Times New Roman"/>
          <w:b/>
          <w:szCs w:val="21"/>
        </w:rPr>
        <w:t>37</w:t>
      </w:r>
      <w:r>
        <w:rPr>
          <w:rFonts w:ascii="Times New Roman;Times New Roman" w:hAnsi="Times New Roman;Times New Roman" w:cs="Times New Roman;Times New Roman" w:eastAsia="新宋体;新宋体"/>
          <w:b/>
          <w:szCs w:val="21"/>
        </w:rPr>
        <w:t>小题）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新课标Ⅰ）周灭商之后，推行分封制，如封武王弟康叔于卫，都朝歌（今河南淇县）；封周公长子伯禽于鲁，都奄（今山东曲阜）；封召公爽于燕，都蓟（今北京）。分封（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．推动了文化的交流与文化认同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．强化了君主专制权力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．实现了王室对地方的直接控制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．实现了国家的大一统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新课标Ⅰ）读表：</w:t>
      </w:r>
    </w:p>
    <w:tbl>
      <w:tblPr>
        <w:tblW w:w="4170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500"/>
        <w:gridCol w:w="1335"/>
        <w:gridCol w:w="1335"/>
      </w:tblGrid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皇帝纪年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公元纪年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郡级政区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汉高帝十二年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195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15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汉文帝十六年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164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汉景帝中六年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144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68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郡、国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汉武帝元封五年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106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108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郡、国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表为西汉朝廷直接管辖的郡级政区变化表。据此可知（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．诸侯王国与朝廷矛盾渐趋激化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．中央行政体制进行了调整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．朝廷解决边患的条件更加成熟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．王国控制的区域日益扩大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新课标Ⅰ）读表：</w:t>
      </w:r>
    </w:p>
    <w:tbl>
      <w:tblPr>
        <w:tblW w:w="8000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00"/>
        <w:gridCol w:w="4000"/>
      </w:tblGrid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记述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出处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秦王（李世民）与薛举大战于泾州，我师败绩。”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《旧唐书•高祖本纪》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薛举寇泾州，太宗（李世民）率众讨之，不利而旋。”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《旧唐书•太宗本纪》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秦王世民为西讨元帅……刘文静（唐朝将领）及薛举战于泾州，败绩。”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《新唐书•高祖本纪》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薛举寇泾州，太宗为西讨元帅，进位雍州牧。七月，太宗有疾，诸将为举所败。”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《新唐书•太宗本纪》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表为不同史籍关于唐武德元年同一事件的历史叙述。据此能够被认定的历史事实是（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．皇帝李世民与薛举战于泾州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．刘文静是战役中唐军的主帅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．唐军与薛举在泾州作战失败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．李世民患病导致了战役失败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新课标Ⅱ）如图为春秋战国之际局部示意图。当时，范蠡在陶、子贡在曹鲁之间经商成为巨富，这一现象反映了（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763010" cy="259143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" t="-14" r="-10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．区域位置影响商贸发展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．争霸战争促进经济交往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．交通条件决定地方经济状况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．城市规模扩大推动商业繁荣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新课标Ⅱ）《史记》《汉书》均为私家撰著。魏晋以后，朝廷任用史官负责修撰本朝或前朝历史，甚至由宰相主持，皇帝亲自参与，这反映出官修史书（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．记载的真实性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．评价历史的公正性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．修撰的政治性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．解释历史的客观性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新课标Ⅱ）北朝时，嗜好奶类制品的北方人常常嘲笑南方人的喝茶习俗。唐中期，北方城市中，“多开店铺，煎茶卖之，不问道俗，投钱取饮。其茶自江、淮而来，舟车相继，所在山积”。据此可知，唐中期（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．国家统一使南茶开始北运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．南北方饮食习惯趋于一致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．南方经济文化影响力上升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．南方经济水平已超越北方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新课标Ⅲ）如图是西周与战国两个时期相同文字的不同写法，反映出字形发生了变化，促成这一变化的主要因素是（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143885" cy="72390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1" t="-50" r="-11" b="-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．文字的频繁使用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．文人对美的追求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．蔡伦改良纸张术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．“书同文”的推行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新课标Ⅲ）《史记》记载，西汉前期，从事农牧业、采矿业、手工业和商业的人，通过自己的努力和智慧而致富，“大者倾郡，中者倾县，下者倾乡里者，不可胜数”。这说明了当时（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．政府重视农业、手工业及商业发展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．朝廷提高工商业者地位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．地方豪强控制了郡县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．经济得到恢复发展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新课标Ⅲ）表：</w:t>
      </w:r>
    </w:p>
    <w:tbl>
      <w:tblPr>
        <w:tblW w:w="4575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815"/>
        <w:gridCol w:w="1380"/>
        <w:gridCol w:w="1380"/>
      </w:tblGrid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土地规模（亩）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户数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户数比例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以下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24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17.3%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～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103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74.1%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131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～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300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7.2%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300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以上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1.4%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小计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139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100%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表为唐代后期敦煌某地土地占有情况统计表，据此可知，当时该地（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．自耕农经济盛行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．土地集中现象突出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．均田制破坏严重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．农业生产效率提高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江苏）《国语》讲“祀，国之大节”。有学者认为，青铜器在商周时期被视为“政治的权力”。可推断，商周时期青铜器主要用作（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．农具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．食具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．货币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江苏）公元前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113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年，汉武帝下令禁止郡国和民间私铸钱币，指定专门官吏负责铸造五铢钱，作为法定货币。这一举措（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．有利于加强中央集权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．首次实现了国家统一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．加重了百姓赋税负担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．空前强化了君主专制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江苏）孔子主张“克己复礼”“为仁由己”。朱熹对“克己”作如下解释：“克”意为“胜”，“己”指的是“身之私欲”。这种解释（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．将人性置于天理之上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．以满足个人欲望为目标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．完全曲解孔子的本意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．与孔子本意不完全一致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海南）考古工作者在河南辉县琉璃阁发掘了一座春秋时期的诸侯墓，出土了只有周天子才能使用的九鼎。这反映了（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．宗法制度的瓦解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．分封制度的崩溃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．等级制度的颠覆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．礼乐制度的破坏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海南）东汉实行察举制，“郡察孝廉，州举茂才”，州、郡都必须定期向朝廷举荐一定数量的人才，而判断孝廉、茂才的标准包括对儒家经典的熟悉程度和道德声望的高低等。这客观上（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．推动了独尊儒学局面的出现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．促使社会阶层趋于固化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．打破了世家大族对政权的垄断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．动摇了郡县制的基础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新课标Ⅲ）据考古报告，从数十处战国以前的墓葬中发现了铁器实物，这些铁器不少是自然陨铁制作而成，发现地分布情况如图。据此可知，战国以前（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2515235" cy="1581150"/>
            <wp:effectExtent l="0" t="0" r="0" b="0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4" t="-23" r="-14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．铁制农具得到普遍使用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．新疆地区与中原联系紧密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．我国的冶铁技术已经相当普及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．铁器分布可反映社会发展程度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新课标Ⅱ）据《史记》记载，商汤见野外有人捕猎鸟兽，张设的罗网四面密实，认为这样便将鸟兽杀绝了，“乃去其三面”，因此获得诸侯的拥护，最终推翻夏桀，创立商朝。这一记载意在说明（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．商汤成功缘于他的仁德之心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．捕猎是夏商时主要经济活动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．商朝已经注重生态环境保护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．资源争夺是夏商更替的主因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西汉文景时期，粮食增产，粮价极低。国家收取的实物田租很少甚至免除，但百姓必须把粮食换成钱币，缴纳较高税额的人头税，富商大贾趁机操纵物价。放高利贷，加剧了土地兼并、农户流亡。这反映出当时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．重农抑商政策未能实行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．自耕农经济发展受阻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．粮价低抑制了生产热情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．富商大贾操纵税收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新课标Ⅱ）武则天时期，将中书、门下二省名称分别改为凤阁、鸾台，通过加授“同凤阁鸾台平章事”头衔，使低品阶官员得以与凤阁、鸾台长官共同议政。宰相数量大增，且更替频繁。这一做法的目的是（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．扩大中书、门下二省的职权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．为官员提供迅速晋升的机会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．便于实现对朝政的全面控制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．强化宰相参政议政职能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新课标Ⅰ）《墨子》中有关于“圆”“直线”“正方形”“倍”的定义，对杠杆原理、声音传播、小孔成像等也有论述，还有机械制造方面的记载。这反映出，《墨子》（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．汇集了诸子百家的思想精华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．形成了完整的科学体系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．包含了劳动人民智慧的结晶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．体现了贵族阶层的旨趣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新课标Ⅰ）据学者研究，唐朝“安史之乱”后百余年间的藩镇基本情况如表所示。由此可知，这一时期的藩镇（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表“安史之乱”后百余年间唐朝藩镇基本情况表</w:t>
      </w:r>
      <w:r>
        <w:rPr>
          <w:rFonts w:ascii="Times New Roman;Times New Roman" w:hAnsi="Times New Roman;Times New Roman" w:cs="Times New Roman;Times New Roman" w:eastAsia="Times New Roman;Times New Roman"/>
          <w:szCs w:val="21"/>
        </w:rPr>
        <w:t xml:space="preserve"> </w:t>
      </w:r>
    </w:p>
    <w:tbl>
      <w:tblPr>
        <w:tblW w:w="8086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12"/>
        <w:gridCol w:w="1641"/>
        <w:gridCol w:w="1611"/>
        <w:gridCol w:w="1611"/>
        <w:gridCol w:w="1611"/>
      </w:tblGrid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藩镇类型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数量（个）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官员任免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赋税供纳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兵额与功能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河朔型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藩镇自擅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不上供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拥重兵以自立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中原型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8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少上供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驻重兵防骄藩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边疆型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17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少上供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驻重兵守边疆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东南型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9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驻兵少防盗贼</w:t>
            </w:r>
          </w:p>
        </w:tc>
      </w:tr>
    </w:tbl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．控制了朝廷财政收入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．彼此之间攻伐不已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．注重维护中央的权威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．延续了唐朝的统治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新课标Ⅱ）战国后期，秦国建造了一批大型水利工程，如郑国渠、都江堰等，一些至今仍在发挥作用。这些工程能够在秦国完成，主要是因为（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．公田制度逐渐完善</w:t>
      </w:r>
      <w:r>
        <w:rPr>
          <w:rFonts w:cs="Calibri;Calibri" w:eastAsia="Calibri;Calibri"/>
        </w:rPr>
        <w:t xml:space="preserve">                    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．铁制生产工具普及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．交通运输网络通畅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．国家组织能力强大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新课标Ⅱ）西汉初期，道家学说兼采阴阳、儒、墨、名、法各家学说的精髓；后来董仲舒的儒家学说也吸收阴阳五行、法、道等各种思想。促成当时学术思想上呈现这种特征的主要因素是（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．王国势力强大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．百家争鸣局面的延续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．现实统治需要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．兼收并蓄的文化政策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新课标Ⅲ）“教民亲爱，莫善于孝；教民礼顺，莫善于悌；移风易俗，莫善于乐；安上治民，莫善于礼。”这一思想产生的制度渊源是（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．禅让制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．郡县制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．察举制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新课标Ⅲ）在今新疆和甘肃地区保存的佛教早期造像很多衣衫单薄，甚至裸身，面部表情生动；时代较晚的洛阳龙门石窟中，造像大都表情庄严，服饰亦趋整齐。引起这一变化的主要因素是（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．经济发展水平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．绘画技术进步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．政治权力干预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．儒家思想影响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新课标Ⅰ）据学者考订，商朝产生了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代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位王，多为兄终弟及；而西周产生了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代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位王。这反映出（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．王位继承方式的变化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．君主寿命的时代差异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．血缘纽带关系的弱化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．禅让制度的长期影响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新课标Ⅰ）汉武帝时，朝廷制作出许多一尺见方的白鹿皮，称为“皮币”，定价为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40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万钱一张。诸侯王参加献礼时，必须购皮币用来置放礼物，而当时一个“千户侯”一年的租税收入约为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万钱。朝廷这种做法（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．削弱了诸侯实力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．确立了思想上的统一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．加强了货币管理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．铲除了地方割据势力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唐代之前，荆楚民间存在一种祈求丰收的“牵钩之戏”，至唐代称作“拔河”，广为流传。唐玄宗《观拔河俗戏》诗云：“壮徒恒贾勇，拔拒抵长河。欲练英雄志，须明胜负多……预期年岁稔，先此乐时和。”据此可知，在唐代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．江南文化成为主流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．耕战结合观念深入人心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．阳刚与力量受到推崇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．诗歌以描写宫廷生活为主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据史书记载，角抵（摔跤）“盖杂技乐也，巴俞（渝）戏、鱼龙蔓延（百戏节目）之属也”。秦二世曾在宫中欣赏。汉武帝在长安举行了两次大规模的角抵表演，长安百姓“三百里内皆观”，他也曾用角抵表演欢迎来长安的西域人。据此可知，当时角抵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．促进了川剧艺术的发展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．拥有广泛的社会影响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．推动了丝路文化的交流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．源于民间的劳作技能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新课标Ⅱ）敦煌莫高窟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61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号洞中的唐代壁画“五台山图”中有一座“大佛光之寺”，梁思成、林徽因按图索骥，在山西五台山地区发现了其实物﹣﹣佛光寺。这一事例说明此类壁画（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972560" cy="1857375"/>
            <wp:effectExtent l="0" t="0" r="0" b="0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9" t="-19" r="-9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．创作源于艺术想象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．能完整还原历史真实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．可与文化遗存互证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．价值来自学者的发掘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新课标Ⅰ）据《史记》记载，春秋时期，楚国国君熊通要求提升爵位等级，遭到周桓王拒绝。熊通怒称现在周边地区都归附了楚国，“而王不加位，我自尊耳”“乃自立，为（楚）武王”。这表明当时周朝（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．礼乐制度不复存在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．王位世袭制度消亡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．宗法制度开始解体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．分封制度受到挑战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新课标Ⅰ）如图为唐代著名画家阎立本的《步辇图》，描绘了唐太宗李世民接见吐蕃使臣的情景。该作品体现了（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2877185" cy="1971675"/>
            <wp:effectExtent l="0" t="0" r="0" b="0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3" t="-18" r="-13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．西域风情与中土文化的交汇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．文人意趣与市井风情的杂糅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．艺术审美与史料价值的统一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．现实主义与浪漫主义的融合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新课标Ⅲ）如图为不同时期的部分货币，据图可知，其形制变化的共同原因是（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4248785" cy="1524000"/>
            <wp:effectExtent l="0" t="0" r="0" b="0"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8" t="-24" r="-8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．铸铁技术的进步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．商品交易的需要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．审美观念的不同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．国家统一的推动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新课标Ⅲ）东汉末年，曹操在许下和各地置田官，大力发展屯田，以解决军粮供应、田亩荒芜和流民问题。“数年中所在积粟，仓廪皆满。”曹操实行屯田，客观上（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．助长了大土地所有制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．推动了农业商品化进程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．促进了中原人口南迁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．缓和了社会的主要矛盾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新课标Ⅲ）唐代书法家张旭曾说：“始吾闻公主与担夫争路，而得笔法之意。后见公孙氏舞剑器，而得其神。”据此可知，张旭书法呈现出（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．书写结构的严整性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．书写气象的灵动性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．书写笔画的繁杂性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．书写技法的内敛性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浙江）周王将子弟、功臣和臣服的先代贵族分封于各地，“制其畿疆而沟封之”，封国成为王朝的屏障。对此制度解读正确的是（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．周王实现了权力的高度集中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．诸侯在封国享有世袭统治权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．血缘关系是分封的唯一依据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．维持了周朝四百余年的统治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浙江）春秋战国时期民本思想的主要内涵有：在人与自然关系方面，突出人的地位；在社会关系方面，强调民的作用。下列观点中，对应两者的是（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．“齐物”；“逍遥”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．“天行有常”；“仁政”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．“法古无过，循礼无邪”；“非攻”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．“制天命而用之”；“民为贵，社稷次之，君为轻”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浙江）某博物馆收藏了一批古代铜镜，上有铭文：“郡举孝廉州博士，少不努力老大悔”“孝言之始孝为右”“居必忠必信”等。从这些铭文中无法确切获取的历史信息是（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．郡县制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．察举制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．铜镜制造于西汉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．宣扬儒家伦理思想</w:t>
      </w:r>
      <w:r>
        <w:br w:type="page"/>
      </w:r>
    </w:p>
    <w:p>
      <w:pPr>
        <w:pStyle w:val="Normal"/>
        <w:widowControl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center"/>
        <w:rPr>
          <w:rFonts w:ascii="Times New Roman;Times New Roman" w:hAnsi="Times New Roman;Times New Roman" w:eastAsia="新宋体;新宋体" w:cs="Times New Roman;Times New Roman"/>
          <w:b/>
          <w:sz w:val="30"/>
          <w:szCs w:val="30"/>
        </w:rPr>
      </w:pPr>
      <w:r>
        <w:rPr>
          <w:rFonts w:ascii="Times New Roman;Times New Roman" w:hAnsi="Times New Roman;Times New Roman" w:cs="Times New Roman;Times New Roman" w:eastAsia="新宋体;新宋体"/>
          <w:b/>
          <w:sz w:val="30"/>
          <w:szCs w:val="30"/>
        </w:rPr>
        <w:t>先秦——唐朝</w:t>
      </w:r>
    </w:p>
    <w:p>
      <w:pPr>
        <w:pStyle w:val="Normal"/>
        <w:spacing w:lineRule="auto" w:line="360"/>
        <w:jc w:val="center"/>
        <w:rPr>
          <w:rFonts w:ascii="Times New Roman;Times New Roman" w:hAnsi="Times New Roman;Times New Roman" w:eastAsia="新宋体;新宋体" w:cs="Times New Roman;Times New Roman"/>
          <w:b/>
          <w:sz w:val="16"/>
          <w:szCs w:val="16"/>
        </w:rPr>
      </w:pPr>
      <w:r>
        <w:rPr>
          <w:rFonts w:ascii="Times New Roman;Times New Roman" w:hAnsi="Times New Roman;Times New Roman" w:cs="Times New Roman;Times New Roman" w:eastAsia="新宋体;新宋体"/>
          <w:b/>
          <w:sz w:val="16"/>
          <w:szCs w:val="16"/>
        </w:rPr>
        <w:t>参考答案与试题解析</w:t>
      </w:r>
    </w:p>
    <w:p>
      <w:pPr>
        <w:pStyle w:val="Normal"/>
        <w:spacing w:lineRule="auto" w:line="360"/>
        <w:rPr>
          <w:rFonts w:ascii="Times New Roman;Times New Roman" w:hAnsi="Times New Roman;Times New Roman" w:eastAsia="新宋体;新宋体" w:cs="Times New Roman;Times New Roman"/>
          <w:b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b/>
          <w:szCs w:val="21"/>
        </w:rPr>
        <w:t>一．选择题（共</w:t>
      </w:r>
      <w:r>
        <w:rPr>
          <w:rFonts w:eastAsia="新宋体;新宋体" w:cs="Times New Roman;Times New Roman" w:ascii="Times New Roman;Times New Roman" w:hAnsi="Times New Roman;Times New Roman"/>
          <w:b/>
          <w:szCs w:val="21"/>
        </w:rPr>
        <w:t>37</w:t>
      </w:r>
      <w:r>
        <w:rPr>
          <w:rFonts w:ascii="Times New Roman;Times New Roman" w:hAnsi="Times New Roman;Times New Roman" w:cs="Times New Roman;Times New Roman" w:eastAsia="新宋体;新宋体"/>
          <w:b/>
          <w:szCs w:val="21"/>
        </w:rPr>
        <w:t>小题）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新课标Ⅰ）周灭商之后，推行分封制，如封武王弟康叔于卫，都朝歌（今河南淇县）；封周公长子伯禽于鲁，都奄（今山东曲阜）；封召公爽于燕，都蓟（今北京）。分封（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．推动了文化的交流与文化认同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．强化了君主专制权力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．实现了王室对地方的直接控制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．实现了国家的大一统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本题关键信息是“封武王弟康叔于卫，都朝歌（今河南淇县）；封周公长子伯禽于鲁，都奄（今山东曲阜）；封召公爽于燕，都蓟（今北京）”，结合分封制的作用进行分析即可。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根据材料“封武王弟康叔于卫，都朝歌（今河南淇县）；封周公长子伯禽于鲁，都奄（今山东曲阜）；封召公爽于燕，都蓟（今北京）”结合所学知识可知，西周时期通过分封制在地方传播了周文化，扩大了统治基础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选项符合题意；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君主专制是在秦朝时期确立的，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周王对地方的控制是间接控制，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西周时期尚未实现国家大一统，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本题主要考查的是分封制及其作用，侧重对材料分析和知识迁移能力的考查，分封制在前期加强了统治，开发了边疆，使西周成为一个强盛的国家。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新课标Ⅰ）读表：</w:t>
      </w:r>
    </w:p>
    <w:tbl>
      <w:tblPr>
        <w:tblW w:w="4170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500"/>
        <w:gridCol w:w="1335"/>
        <w:gridCol w:w="1335"/>
      </w:tblGrid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皇帝纪年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公元纪年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郡级政区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汉高帝十二年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195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15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汉文帝十六年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164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汉景帝中六年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144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68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郡、国</w:t>
            </w:r>
          </w:p>
        </w:tc>
      </w:tr>
      <w:tr>
        <w:trPr/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汉武帝元封五年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前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106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年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108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郡、国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表为西汉朝廷直接管辖的郡级政区变化表。据此可知（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．诸侯王国与朝廷矛盾渐趋激化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．中央行政体制进行了调整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．朝廷解决边患的条件更加成熟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．王国控制的区域日益扩大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本题主要考查中国古代汉朝政治制度的基本，侧重考查汉朝的地方官制演变的基本情况，要求学生结合汉初郡国并行制的知识来分析。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从材料可知，郡国的数量不断增多，结合所学知识，这应该是汉朝削弱封国设置郡县的结果，汉武帝推行推恩令，使诸侯国的面积越来越小，诸侯国的实力也越来越小，对中央集权的威胁日益削弱，中央与地方权力之间的矛盾逐渐缓和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．材料反应的是地方郡国并行制，不是中央官制。</w:t>
      </w:r>
    </w:p>
    <w:p>
      <w:pPr>
        <w:pStyle w:val="Normal"/>
        <w:spacing w:lineRule="auto" w:line="360"/>
        <w:ind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．结合汉武帝时期的时代特征可知，当时匈奴对边境的威胁越来越严重，汉武帝通过推恩令缓解了内部王国威胁中央集权的问题，国家综合国力明显上升，有利于解决对外抵御匈奴侵略的问题。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．结合所学知识可知，汉朝汉景帝时期就开始削弱藩国，地方王国控制的区域只可能越来越小，不会越来越大。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回答本题的关键是要理解汉武帝时期的政治环境，汉武帝时期，面临着北方少数民族匈奴的威胁，内部王国问题的困扰，土地兼并日益严重，等问题，汉武帝通过推恩令缓和了内部的诸侯国威胁，加强了中央集权，这就为对外打击匈奴创造了良好的内部环境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新课标Ⅰ）读表：</w:t>
      </w:r>
    </w:p>
    <w:tbl>
      <w:tblPr>
        <w:tblW w:w="8000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00"/>
        <w:gridCol w:w="4000"/>
      </w:tblGrid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记述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出处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秦王（李世民）与薛举大战于泾州，我师败绩。”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《旧唐书•高祖本纪》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薛举寇泾州，太宗（李世民）率众讨之，不利而旋。”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《旧唐书•太宗本纪》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秦王世民为西讨元帅……刘文静（唐朝将领）及薛举战于泾州，败绩。”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《新唐书•高祖本纪》</w:t>
            </w:r>
          </w:p>
        </w:tc>
      </w:tr>
      <w:tr>
        <w:trPr/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eastAsia="新宋体;新宋体"/>
                <w:szCs w:val="21"/>
              </w:rPr>
            </w:pPr>
            <w:r>
              <w:rPr>
                <w:rFonts w:eastAsia="新宋体;新宋体" w:cs="新宋体;新宋体" w:ascii="新宋体;新宋体" w:hAnsi="新宋体;新宋体"/>
                <w:szCs w:val="21"/>
              </w:rPr>
              <w:t>“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薛举寇泾州，太宗为西讨元帅，进位雍州牧。七月，太宗有疾，诸将为举所败。”</w:t>
            </w:r>
          </w:p>
        </w:tc>
        <w:tc>
          <w:tcPr>
            <w:tcW w:w="4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《新唐书•太宗本纪》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表为不同史籍关于唐武德元年同一事件的历史叙述。据此能够被认定的历史事实是（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．皇帝李世民与薛举战于泾州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．刘文静是战役中唐军的主帅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．唐军与薛举在泾州作战失败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．李世民患病导致了战役失败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本题考查历史与历史学。解题的关键是对题干表格的解读与分析，得出四则材料的共同点。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依据题干表格内容可知，四则材料都提到唐军与薛举在泾州作战失败，因此能够被认定的历史事实是唐军与薛举在泾州作战失败，故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ABD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三项不全面，应排除。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本题以表格形式考查对历史与历史学相关知识的把握，考查学生准确解读表格、分析理解的能力。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新课标Ⅱ）如图为春秋战国之际局部示意图。当时，范蠡在陶、子贡在曹鲁之间经商成为巨富，这一现象反映了（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763010" cy="2591435"/>
            <wp:effectExtent l="0" t="0" r="0" b="0"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14" r="-10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．区域位置影响商贸发展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．争霸战争促进经济交往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．交通条件决定地方经济状况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．城市规模扩大推动商业繁荣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本题考查春秋战国时期的商业发展，春秋战国时期，随着“工商食官”制度的逐</w:t>
      </w:r>
      <w:r>
        <w:rPr>
          <w:rFonts w:ascii="Times New Roman;Times New Roman" w:hAnsi="Times New Roman;Times New Roman" w:cs="Times New Roman;Times New Roman" w:eastAsia="Times New Roman;Times New Roman"/>
          <w:szCs w:val="21"/>
        </w:rPr>
        <w:t xml:space="preserve"> 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步瓦解，各地涌现出许多商品市场，私营商业应运而生，各国纷纷铸造货币，黄金、白银也开始用为货币，形成了许多著名的都会。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根据图示，陶、曹、鲁均为黄河中下游地区，经济相对较为发达，且三地距离较近，有利于商贸发展，故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材料未体现，排除。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自春秋后期以来，铁制农具的推广，牛力垦种的使用，耕作技术的改进，水利灌溉的发展，农业生产力步步提高。农业劳动者由奴隶转为农奴，再由农奴升为个体小农，生产积极性也步步增长。随着生产的增加，他们有越来越多的剩余产品要求出售，又越来越多地要求购回所需的生活、生产资料。与个体农民的成长相并行，许多手工业奴隶也得以解放，成为独立的手工业者，其产品更是以出售为目的，不投入市场就不能换到生活必需品和所用的原料。同时，山泽之利陆续开放，青铜、冶铁、煮盐等主要手工业在很多地区和很多时间内归私人经营，改变了过去手工业由官府垄断的格局。所有这些，都促进了商品交换，扩大了市场容量。再加上城市的兴筑，交通的开辟，政治局面的逐渐趋于统一（战国是七雄并立），物资得以在更大范围内畅顺流通，商业的发展更具备了前所未有的良好条件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新课标Ⅱ）《史记》《汉书》均为私家撰著。魏晋以后，朝廷任用史官负责修撰本朝或前朝历史，甚至由宰相主持，皇帝亲自参与，这反映出官修史书（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．记载的真实性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．评价历史的公正性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．修撰的政治性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．解释历史的客观性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本题主要考查历史学研究发展的基本史实，要求学生，从材料中分析得出中国古代修史特征。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．材料没有涉及到官修撰史书的真实性。</w:t>
      </w:r>
    </w:p>
    <w:p>
      <w:pPr>
        <w:pStyle w:val="Normal"/>
        <w:spacing w:lineRule="auto" w:line="360"/>
        <w:ind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．私家著述和官修史书，看不出评价历史的公正性。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．由私人修史转向政府官修史书，可以看出政府对修史的重视和控制，体现了史书修撰的政治性，也就是说史书修撰要为政治统治服务。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．官修史书和私人撰写史书，都不能够准确把握和保障解释历史的客观性。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历史的修撰涉及到对历史人物的评价，朝代功绩的肯定和否定，在不同的时期，对历史事件的认识，关系到当时的社会政治统治的稳定，所以中国随着封建社会制度不断的发展，在意识形态上对修撰史书非常重视，并且政府开始将修史的主导权，由私人收归政府，这体现了史书修撰要为政治统治服务的特点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新课标Ⅱ）北朝时，嗜好奶类制品的北方人常常嘲笑南方人的喝茶习俗。唐中期，北方城市中，“多开店铺，煎茶卖之，不问道俗，投钱取饮。其茶自江、淮而来，舟车相继，所在山积”。据此可知，唐中期（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．国家统一使南茶开始北运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．南北方饮食习惯趋于一致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．南方经济文化影响力上升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．南方经济水平已超越北方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经济重心南移。需要掌握唐朝时期经济重心南移的状况及其影响。解题的关键是对材料的解读与分析，结合经济重心南移过程和注意题干时间解答即可。我国古代经济重心的南移的过程：东晋南朝时期江南经济的开发使南北经济差距缩小，为以后我国经济重心的逐渐南移打下了基础；隋唐时期江南地区的土地资源得到进一步开发，成为重要的粮食产地。安史之乱以后，北方经济受到严重破坏，我国的经济重心开始南移。五代十国时期，北方战乱频繁，而南方战祸较少，相对安定，我国的经济重心继续南移；南宋时期南方经济进一步发展，完全取代了北方经济重心的地位，完成南移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依据题干材料，结合所学可知，唐朝时期国家统一，但是材料不能反映唐朝中期南茶开始北运，因此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项错误在“开始”，应排除。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南北方饮食习惯存在较大差异，故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唐朝安史之乱之后，经济重心开始南移，随着经济文化影响力的上升，南方的习俗也被北方人所接受，故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南方经济水平已超越北方是在南宋，与题干时间不符，故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本题考查经济重心南移。考查对唐朝经济重心南移的状况及其影响的把握，考查学生解读材料、分析理解、运用所学知识解决问题的能力。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新课标Ⅲ）如图是西周与战国两个时期相同文字的不同写法，反映出字形发生了变化，促成这一变化的主要因素是（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143885" cy="723900"/>
            <wp:effectExtent l="0" t="0" r="0" b="0"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1" t="-50" r="-11" b="-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．文字的频繁使用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．文人对美的追求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．蔡伦改良纸张术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．“书同文”的推行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本题考查汉字的演变。需要掌握汉字由符号转变为形象的原因。解题的关键是对图示的解读与分析。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依据材料图示中的汉字字形可以看出汉字由符号转变为形象，结合所学可知，其原因是汉字符号不利于文字的使用，因此转变的原因是文字的频繁使用，故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三项均是无关项，排除。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本题考查对汉字由符号转变为形象原因的把握，旨在考查学生解读图示、分析理解、运用所学知识解决问题的能力。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新课标Ⅲ）《史记》记载，西汉前期，从事农牧业、采矿业、手工业和商业的人，通过自己的努力和智慧而致富，“大者倾郡，中者倾县，下者倾乡里者，不可胜数”。这说明了当时（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．政府重视农业、手工业及商业发展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．朝廷提高工商业者地位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．地方豪强控制了郡县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．经济得到恢复发展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本题考查中国古代经济发展的特点，依据材料并联系教材可以得出经济得到恢复发展。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．汉代政府推行重农抑商政策，排除；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．汉代政府推行重农抑商政策，抑制工商业者地位，排除；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．材料中未能体现地方好强控制了郡县，排除；</w:t>
      </w:r>
    </w:p>
    <w:p>
      <w:pPr>
        <w:pStyle w:val="Normal"/>
        <w:spacing w:lineRule="auto" w:line="360"/>
        <w:ind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．西汉前期许多人通过自己的努力和智慧而致富，体现了经济得到恢复发展，正确。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本题以西汉前期经济发展为切入点，考查学生对中国古代经济发展的特点的掌握及综合运用能力。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新课标Ⅲ）表：</w:t>
      </w:r>
    </w:p>
    <w:tbl>
      <w:tblPr>
        <w:tblW w:w="4575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815"/>
        <w:gridCol w:w="1380"/>
        <w:gridCol w:w="1380"/>
      </w:tblGrid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土地规模（亩）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户数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户数比例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以下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24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17.3%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～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103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74.1%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131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～</w:t>
            </w: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300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7.2%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300</w:t>
            </w: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以上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2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1.4%</w:t>
            </w:r>
          </w:p>
        </w:tc>
      </w:tr>
      <w:tr>
        <w:trPr/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小计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139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100%</w:t>
            </w:r>
          </w:p>
        </w:tc>
      </w:tr>
    </w:tbl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表为唐代后期敦煌某地土地占有情况统计表，据此可知，当时该地（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．自耕农经济盛行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．土地集中现象突出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．均田制破坏严重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．农业生产效率提高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本题考查中国古代的土地制度。需要掌握唐代后期自耕农经济盛行的表现。解题的关键是对题干表格的解读与分析，注意表格中的土地规模、户数以及比例的数据。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依据题干表格可知，土地规模在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～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亩的户数和比例较高，结合所学可知，均田制条件下一般的自耕农授田是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亩，一家有几个男丁露田与桑田加在一起应当超过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亩，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eastAsia="新宋体;新宋体" w:cs="新宋体;新宋体" w:ascii="新宋体;新宋体" w:hAnsi="新宋体;新宋体"/>
          <w:szCs w:val="21"/>
        </w:rPr>
        <w:t>﹣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亩占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74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</w:t>
      </w:r>
      <w:r>
        <w:rPr>
          <w:rFonts w:ascii="Times New Roman;Times New Roman" w:hAnsi="Times New Roman;Times New Roman" w:cs="Times New Roman;Times New Roman" w:eastAsia="Times New Roman;Times New Roman"/>
          <w:szCs w:val="21"/>
        </w:rPr>
        <w:t xml:space="preserve"> 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1%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，比重较大，由此可知，唐代后期自耕农经济盛行，故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土地规模在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300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以上的户数和比例少，说明大土地所占的比例比较小，因此没有体现土地集中现象突出，故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均田制在唐朝中期就已经瓦解，此时不存在均田制破坏与否的问题，故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表格只是反映唐代后期敦煌某地土地占有情况，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项材料内容并未涉及，故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本题以表格的形式考查对唐代后期自耕农经济盛行的表现的把握，考查学生准确解读表格、分析理解的能力。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江苏）《国语》讲“祀，国之大节”。有学者认为，青铜器在商周时期被视为“政治的权力”。可推断，商周时期青铜器主要用作（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．农具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．食具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．货币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冶金技术。需要掌握青铜器在商周时期的地位和用途。解题的关键是抓住关键信息“祀，国之大节”、“青铜器在商周时期被视为政治的权力”，结合青铜器在商周时期的地位和用途解答即可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“祀，国之大节”、“青铜器在商周时期被视为政治的权力”，结合所学可知，中国青铜器时代，包括夏、商、西周、春秋及战国早期，延续时间约一千六百年。这个时期的青铜器主要服务于王室、贵族，分为礼乐器、兵器及杂器，乐器也主要用在宗庙祭祀活动中，因此青铜器在此时是政治权利的象征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三项均不符合题意和史实，应排除。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本题考查中国古代的冶金技术。考查对青铜器在商周时期的地位和用途的把握，考查学生抓住关键信息、调用所学知识解决问题的能力。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江苏）公元前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113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年，汉武帝下令禁止郡国和民间私铸钱币，指定专门官吏负责铸造五铢钱，作为法定货币。这一举措（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．有利于加强中央集权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．首次实现了国家统一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．加重了百姓赋税负担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．空前强化了君主专制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本题主要考查汉朝加强中央集权的措施，侧重从货币制度角度来分析，要求学生联系汉朝时期和秦朝时期货币制度发展的基本史实来理解。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．汉朝初期货币可以私铸，政府对经济掌控的能力影响下降，不利于中央集权，汉武帝禁止民间铸钱和地方郡国铸钱，目的就是为了加强中央对货币铸造权的掌控，最终加强中央集权。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．首次实现国家统一是大秦帝国，不是汉朝。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．货币由中央政府统一铸造，没有涉及到对百姓赋税的影响。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．中央政府统一铸造货币，地方的铸币权收归中央，加强了中央集权，而不是强化了君主专制。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回答本题时我们要知道，秦朝巩固了国家统一，统一了货币，采用圆形方孔的半两钱，汉朝初期，经济逐渐恢复，实行休养生息的政策，无为而治，放松了对货币的掌控，导致地方铸钱的出现，汉武帝时期，为了巩固大一统，统一货币铸造，推行五铢钱，一直沿用到隋末唐初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江苏）孔子主张“克己复礼”“为仁由己”。朱熹对“克己”作如下解释：“克”意为“胜”，“己”指的是“身之私欲”。这种解释（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．将人性置于天理之上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．以满足个人欲望为目标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．完全曲解孔子的本意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．与孔子本意不完全一致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本题主要考查儒家思想内容发展，要求学生结合孔子思想内容和程朱理学的内容来分析材料。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．材料中没有涉及到天理等内容。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．孔子和朱熹的意思是要控制住人的自我欲望，选项和材料不符。</w:t>
      </w:r>
    </w:p>
    <w:p>
      <w:pPr>
        <w:pStyle w:val="Normal"/>
        <w:spacing w:lineRule="auto" w:line="360"/>
        <w:ind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．朱熹的意思，继承了孔子的观点，但又发展了孔子的观点。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．朱熹继承了孔子克己的克的意思，孔子将己描述为自己，而朱熹，把它发展为自己的欲望。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程朱理学的基本观点有，认为世界的本原是天理，天理就是儒家的三纲五常等伦理道德标准，追求天理的方法就是格物致知，格物致知的目的是要达到天理，而不是要追求科学的真相。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海南）考古工作者在河南辉县琉璃阁发掘了一座春秋时期的诸侯墓，出土了只有周天子才能使用的九鼎。这反映了（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．宗法制度的瓦解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．分封制度的崩溃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．等级制度的颠覆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．礼乐制度的破坏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本题考查中国古代的政治制度。需要掌握春秋时期礼乐制度破坏的表现。解题的关键是对材料的解读，结合周礼内容分析理解即可。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依据题干材料，结合所学可知，周礼规定：天子九鼎，诸侯七鼎，卿大夫五鼎，材料中诸侯墓出现九鼎，说明春秋时期礼乐制度的破坏，故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ABC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三项均不符合，应排除。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本题考查中国古代的政治制度。考查对春秋时期礼乐制度破坏的表现的把握，考查学生解读材料、运用所学知识分析理解材料的能力。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2017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海南）东汉实行察举制，“郡察孝廉，州举茂才”，州、郡都必须定期向朝廷举荐一定数量的人才，而判断孝廉、茂才的标准包括对儒家经典的熟悉程度和道德声望的高低等。这客观上（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．推动了独尊儒学局面的出现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．促使社会阶层趋于固化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．打破了世家大族对政权的垄断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．动摇了郡县制的基础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本题考查察举制。需要掌握东汉的察举制的影响。解题的关键是对材料的解读与分析。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依据题干材料可知，东汉察举制荐举的是那些熟悉儒家经典和道德声望高的人，这在一定程度上促使社会阶层的固化，故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独尊儒学局面的出现是在汉武帝时期，故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依据题干材料可知，东汉的察举制并没有打破了世家大族对政权的垄断，故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题干没有涉及郡县制，故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本题考查察举制。考查对东汉的察举制的影响的把握，考查学生准确解读材料、分析理解、运用所学知识解决问题的能力。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新课标Ⅲ）据考古报告，从数十处战国以前的墓葬中发现了铁器实物，这些铁器不少是自然陨铁制作而成，发现地分布情况如图。据此可知，战国以前（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2515235" cy="1581150"/>
            <wp:effectExtent l="0" t="0" r="0" b="0"/>
            <wp:docPr id="9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14" t="-23" r="-14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．铁制农具得到普遍使用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．新疆地区与中原联系紧密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．我国的冶铁技术已经相当普及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．铁器分布可反映社会发展程度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本题考查中国古代的耕作技术。需要掌握战国以前铁器使用状况。解题的关键是对图示的分析理解。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结合所学可知，铁制农具得到普遍使用是汉朝，故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图中虽然新疆地区也发现了铁器实物，但是无法得出新疆地区与中原联系紧密和冶铁技术已经相当普及，故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两项错误。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依据图示可知，战国以前铁器主要分布在黄河流域和长江流域，当时黄河流域和长江流域经济发展水平高于其他地区，因此出现图示的分布状况，因此图示说明铁器分布可反映社会发展程度，故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本题考查对战国以前铁器使用状况的把握，旨在考查学生解读图示、分析理解、运用所学知识解决问题的能力。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新课标Ⅱ）据《史记》记载，商汤见野外有人捕猎鸟兽，张设的罗网四面密实，认为这样便将鸟兽杀绝了，“乃去其三面”，因此获得诸侯的拥护，最终推翻夏桀，创立商朝。这一记载意在说明（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．商汤成功缘于他的仁德之心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．捕猎是夏商时主要经济活动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．商朝已经注重生态环境保护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．资源争夺是夏商更替的主因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本题考查史料的重要作用，解题的关键是“商汤见野外有人捕猎鸟兽，张设的罗网四面密实，认为这样便将鸟兽杀绝了”“乃去其三面”。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“商汤见野外有人捕猎鸟兽，张设的罗网四面密实，认为这样便将鸟兽杀绝了”“乃去其三面”表明商汤成功缘于他的仁德之心，故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夏商时主要经济活动、注重生态环境保护、夏商更替的主因材料未涉及，故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本题难度中档，考查史料的重要作用，史料即是与历史密切相关的材料，它是人类在以往长期的社会活动过程中，遗留下来的各种痕迹。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西汉文景时期，粮食增产，粮价极低。国家收取的实物田租很少甚至免除，但百姓必须把粮食换成钱币，缴纳较高税额的人头税，富商大贾趁机操纵物价。放高利贷，加剧了土地兼并、农户流亡。这反映出当时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．重农抑商政策未能实行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．自耕农经济发展受阻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．粮价低抑制了生产热情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．富商大贾操纵税收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本题考查古代赋税制度，解题的关键是“放高利贷，加剧了土地兼并、农户流亡”。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“放高利贷，加剧了土地兼并、农户流亡”反映出当时自耕农经济发展受阻，故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重农抑商政策产生于战国时期，故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材料未体现，排除；</w:t>
      </w:r>
    </w:p>
    <w:p>
      <w:pPr>
        <w:pStyle w:val="Normal"/>
        <w:spacing w:lineRule="auto" w:line="360"/>
        <w:ind w:left="273" w:right="0"/>
        <w:rPr>
          <w:rFonts w:eastAsia="新宋体;新宋体"/>
          <w:szCs w:val="21"/>
        </w:rPr>
      </w:pPr>
      <w:r>
        <w:rPr>
          <w:rFonts w:eastAsia="新宋体;新宋体" w:cs="新宋体;新宋体" w:ascii="新宋体;新宋体" w:hAnsi="新宋体;新宋体"/>
          <w:szCs w:val="21"/>
        </w:rPr>
        <w:t>“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富商大贾趁机操纵物价”并不能说明富商大贾操纵税收，故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本题难度中档，考查古代赋税制度，赋税是中国古代国家宏观管理经济的重要手段，是统治者为维护国家机器运转而强制征收的。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新课标Ⅱ）武则天时期，将中书、门下二省名称分别改为凤阁、鸾台，通过加授“同凤阁鸾台平章事”头衔，使低品阶官员得以与凤阁、鸾台长官共同议政。宰相数量大增，且更替频繁。这一做法的目的是（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．扩大中书、门下二省的职权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．为官员提供迅速晋升的机会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．便于实现对朝政的全面控制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．强化宰相参政议政职能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本题依据材料并联系教材可以得出武则天时期增加宰相数量，频繁更换宰相有利于实现对朝政的全面控制。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．题干信息只说中书、门下二省名称发生了变化，并没有提及职权扩大的相关内容，排除；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．材料信息没有反映官员晋升的相关内容，排除；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．武则天时期，中书、门下二省的名称改为凤阁、鸾台，且低等级的官员可以参与议政，宰相数量大增且更换频繁，这些制度加强了君主专制和中央集权，便于实现对朝政的全面控制，正确；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．材料没有反映宰相参政议政职能的加强，排除。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本题以武则天时期中央职能部门变化为切入点，考查学生对唐朝中央集权的掌握及综合运用能力。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19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新课标Ⅰ）《墨子》中有关于“圆”“直线”“正方形”“倍”的定义，对杠杆原理、声音传播、小孔成像等也有论述，还有机械制造方面的记载。这反映出，《墨子》（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．汇集了诸子百家的思想精华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．形成了完整的科学体系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．包含了劳动人民智慧的结晶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．体现了贵族阶层的旨趣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本题考查墨家思想，解题的关键是“有关于“圆”“直线““正方形““倍”的定义，对杠杆原理、声音传播、小孔成像等也有论述，还有机械制造方面的记载”。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知识可知，墨家代表的是下层劳动人民的利益，“有关于“圆”“直线““正方形““倍”的定义，对杠杆原理、声音传播、小孔成像等也有论述，还有机械制造方面的记载”表明《墨子》包含了劳动人民智慧的结晶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材料说的是墨家，没有涉及诸子百家，故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完整的科学体系、贵族阶层的旨趣材料未体现，故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本题难度中档，考查墨家思想，墨家的思想代表了平民的利益，特别是手工业者的利益。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2018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新课标Ⅰ）据学者研究，唐朝“安史之乱”后百余年间的藩镇基本情况如表所示。由此可知，这一时期的藩镇（　　）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表“安史之乱”后百余年间唐朝藩镇基本情况表</w:t>
      </w:r>
      <w:r>
        <w:rPr>
          <w:rFonts w:ascii="Times New Roman;Times New Roman" w:hAnsi="Times New Roman;Times New Roman" w:cs="Times New Roman;Times New Roman" w:eastAsia="Times New Roman;Times New Roman"/>
          <w:szCs w:val="21"/>
        </w:rPr>
        <w:t xml:space="preserve"> </w:t>
      </w:r>
    </w:p>
    <w:tbl>
      <w:tblPr>
        <w:tblW w:w="8086" w:type="dxa"/>
        <w:jc w:val="left"/>
        <w:tblInd w:w="28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12"/>
        <w:gridCol w:w="1641"/>
        <w:gridCol w:w="1611"/>
        <w:gridCol w:w="1611"/>
        <w:gridCol w:w="1611"/>
      </w:tblGrid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藩镇类型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数量（个）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官员任免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赋税供纳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兵额与功能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河朔型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7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藩镇自擅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不上供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拥重兵以自立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中原型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8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少上供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驻重兵防骄藩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边疆型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17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少上供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驻重兵守边疆</w:t>
            </w:r>
          </w:p>
        </w:tc>
      </w:tr>
      <w:tr>
        <w:trPr/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东南型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eastAsia="新宋体;新宋体" w:cs="Times New Roman;Times New Roman" w:ascii="Times New Roman;Times New Roman" w:hAnsi="Times New Roman;Times New Roman"/>
                <w:szCs w:val="21"/>
              </w:rPr>
              <w:t>9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朝廷任命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上供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Times New Roman;Times New Roman" w:hAnsi="Times New Roman;Times New Roman" w:eastAsia="新宋体;新宋体" w:cs="Times New Roman;Times New Roman"/>
                <w:szCs w:val="21"/>
              </w:rPr>
            </w:pPr>
            <w:r>
              <w:rPr>
                <w:rFonts w:ascii="Times New Roman;Times New Roman" w:hAnsi="Times New Roman;Times New Roman" w:cs="Times New Roman;Times New Roman" w:eastAsia="新宋体;新宋体"/>
                <w:szCs w:val="21"/>
              </w:rPr>
              <w:t>驻兵少防盗贼</w:t>
            </w:r>
          </w:p>
        </w:tc>
      </w:tr>
    </w:tbl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．控制了朝廷财政收入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．彼此之间攻伐不已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．注重维护中央的权威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．延续了唐朝的统治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本题依据材料并联系教材可以得出唐朝“安史之乱”后百余年间的藩镇有利于延续唐朝的统治。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．表格仅反映了“安史之乱”后百余年间唐朝四种藩镇类型的赋税供纳状况，不涉及其与朝廷财政的对比，无法得出这一时期的藩镇控制了朝政财政收入的结论，排除；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．不能仅根据中原型藩镇的兵额与功能中“驻重兵防骄藩”就片面推断出这一时期的藩镇彼此之间攻伐不已的结论，属于片面推断，排除；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．藩镇容易造成割据政权，不利于维护中央权威，排除；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表格中四种藩镇功能各不相同，东南藩镇，从财政上支持朝廷；边疆藩镇，保证了唐朝不亡于外敌；中原藩镇，遏制了河北割据藩镇。他们构成了一个既密切联系又相互制约的微妙关系，使唐朝的统治又较安稳地维持了一百多年，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本题以唐朝藩镇为切入点，考查学生对唐朝加强中央集权的掌握及综合运用能力。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新课标Ⅱ）战国后期，秦国建造了一批大型水利工程，如郑国渠、都江堰等，一些至今仍在发挥作用。这些工程能够在秦国完成，主要是因为（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．公田制度逐渐完善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．铁制生产工具普及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．交通运输网络通畅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．国家组织能力强大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本题主要考查中国古代的水利工程和灌溉工具，试题难度一般，解题关键在于对材料和相关知识的准确把握。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结合所学知识可知，秦国在商鞅变法之后确立中央集权制度，国家对社会控制能力较强，能集中全国的人力、物力进行经济建设，因此战国后期秦国出现了一大批的水利工程，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选项符合题意。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商鞅变法时期确立土地私有制，公田制度遭到破坏，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选项说法错误。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铁质生产工具的普及只是水利工程发展的一个因素，并非主要因素，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交通运输网络畅通的说法与材料无关，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本题侧重对材料分析和知识迁移能力的考查，解题关键在于对中国古代的水利工程和灌溉工具的准确把握。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新课标Ⅱ）西汉初期，道家学说兼采阴阳、儒、墨、名、法各家学说的精髓；后来董仲舒的儒家学说也吸收阴阳五行、法、道等各种思想。促成当时学术思想上呈现这种特征的主要因素是（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．王国势力强大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．百家争鸣局面的延续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．现实统治需要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．兼收并蓄的文化政策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本题主要考查儒家思想的发展演变，试题难度一般，解题关键在于对材料和相关知识的准确把握。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结合材料和所学知识可知，董仲舒的新儒学适应了汉武帝加强中央集权，稳定社会统治的需要，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选项符合题意。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王国势力强大是董仲舒新儒学出现的一个因素，巩固统治才是主要因素，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汉武帝的“罢黜百家，独尊儒术”的措施，确立了儒学的独尊地位，本质上属于文化专制，百家争鸣的局面结束，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董仲舒的新儒学具有强烈的排它性，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选项排除。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本题侧重对材料分析和知识迁移能力的考查，解题关键在于对儒家思想发展的准确把握。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新课标Ⅲ）“教民亲爱，莫善于孝；教民礼顺，莫善于悌；移风易俗，莫善于乐；安上治民，莫善于礼。”这一思想产生的制度渊源是（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．禅让制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．郡县制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．察举制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本题考查宗法制，解题的关键是“教民亲爱，莫善于孝；教民礼顺，莫善于悌”。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“教民亲爱，莫善于孝；教民礼顺，莫善于悌”表明材料强调血缘关系，与宗法制有关，故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材料未体现，排除。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为中档题，考查宗法制，凝聚宗族，防止内部纷争，强化王权，形成“周天子﹣诸侯﹣卿大夫﹣士”的等级秩序，有利于统治阶级内部的稳定和团结；把“国”和“家”密切结合，保证王权的稳定，保证贵族的特权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新课标Ⅲ）在今新疆和甘肃地区保存的佛教早期造像很多衣衫单薄，甚至裸身，面部表情生动；时代较晚的洛阳龙门石窟中，造像大都表情庄严，服饰亦趋整齐。引起这一变化的主要因素是（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．经济发展水平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．绘画技术进步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．政治权力干预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．儒家思想影响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本题考查儒家思想的发展演变，解题的关键是“佛教早期造像很多衣衫单薄，甚至裸身，面部表情生动；时代较晚的洛阳龙门石窟中，造像大都表情庄严，服饰亦趋整齐”。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“佛教早期造像很多衣衫单薄，甚至裸身，面部表情生动；时代较晚的洛阳龙门石窟中，造像大都表情庄严，服饰亦趋整齐”主要是由于儒家思想吸收佛道思想，形成理学，成为官方哲学，故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ABC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均不符合题意，排除。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本题为中档题，考查儒家思想的发展演变，宋代理学以儒家思想为基础、吸收佛教和道教思想形成新儒学。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新课标Ⅰ）据学者考订，商朝产生了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代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位王，多为兄终弟及；而西周产生了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代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位王。这反映出（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．王位继承方式的变化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．君主寿命的时代差异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．血缘纽带关系的弱化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．禅让制度的长期影响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本题主要考查的是宗法制，解题关键是准确对比商朝和西周时期的王位传承频率。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材料体现的是西周更换王的速度明显比商朝要慢，这说明西周的统治更加稳定，主要和王位的传承方式有关，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西周时期尚未建立君主专制制度，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排除；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西周时期的血缘纽带是呈现强化趋势的，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禅让制是原始社会的选贤任能制度，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本题主要考查的是宗法制，侧重对材料分析和知识迁移能力的考查，宗法制的核心是嫡长子继承制。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新课标Ⅰ）汉武帝时，朝廷制作出许多一尺见方的白鹿皮，称为“皮币”，定价为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40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万钱一张。诸侯王参加献礼时，必须购皮币用来置放礼物，而当时一个“千户侯”一年的租税收入约为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万钱。朝廷这种做法（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．削弱了诸侯实力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．确立了思想上的统一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．加强了货币管理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．铲除了地方割据势力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本题主要考查汉朝的政治制度，要求学生结合汉朝加强中央集权的措施特征来分析。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．从材料内容可以看出让地方诸侯在参加献礼时用重金购买皮币，主要是为了削弱他们的经济实力，从而加强中央集权。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．材料没有涉及到思想上统一。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．材料中的货币并不是统一的流通货币。不是加强货币管理的表现。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．材料中的措施不可能铲除地方割据势力，只是对他们有一定的限制作用。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解答本题要搞清楚汉朝加强中央集权的措施特征，学生要有较强的结合所学知识分析材料的能力。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2019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唐代之前，荆楚民间存在一种祈求丰收的“牵钩之戏”，至唐代称作“拔河”，广为流传。唐玄宗《观拔河俗戏》诗云：“壮徒恒贾勇，拔拒抵长河。欲练英雄志，须明胜负多……预期年岁稔，先此乐时和。”据此可知，在唐代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．江南文化成为主流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．耕战结合观念深入人心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．阳刚与力量受到推崇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．诗歌以描写宫廷生活为主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魏晋南北朝的民族融合与隋唐大一统的发展，侧重考查考生的读题能力，从材料中“壮徒恒贾勇，拔拒抵长河。欲练英雄志，须明胜负多……预期年岁稔，先此乐时和”可以看出，拔河体现了人的阳刚与力量，从而受到推崇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．材料没有江南文化成为主流的信息，故排除。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．耕战结合观念深入人心不符合材料主旨，故排除。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．从材料中“壮徒恒贾勇，拔拒抵长河。欲练英雄志，须明胜负多……预期年岁稔，先此乐时和”可以看出，拔河体现了人的阳刚与力量，从而受到推崇。故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．诗歌以描写宫廷生活为主不符合材料“荆楚民间”的描述，故排除。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本题考查魏晋南北朝的民族融合与隋唐大一统的发展，侧重考查考生的读题能力，魏晋南北朝的民族融合与隋唐大一统的发展属于重点内容，考生应扎实掌握。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28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据史书记载，角抵（摔跤）“盖杂技乐也，巴俞（渝）戏、鱼龙蔓延（百戏节目）之属也”。秦二世曾在宫中欣赏。汉武帝在长安举行了两次大规模的角抵表演，长安百姓“三百里内皆观”，他也曾用角抵表演欢迎来长安的西域人。据此可知，当时角抵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．促进了川剧艺术的发展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．拥有广泛的社会影响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．推动了丝路文化的交流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．源于民间的劳作技能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本题考查中国古代的社会生活。解题的关键是正确分析材料的主旨，分析得出材料反映了角抵表演受到各个阶层的欢迎，进而分析得出角抵拥有广泛的社会影响。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依据材料可知，角抵表演不仅仅受到皇室的欣赏，还受到百姓和西域人的欢迎，说明角抵拥有广泛的社会影响，故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材料没有体现角抵促进川剧艺术的发展，故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材料不能说明角抵推动丝路文化的交流，故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项不是材料的主旨，排除。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本题考查对秦汉时期角抵表演及其影响的把握，旨在考查学生解读材料、分析理解、运用所学知识解决问题的能力。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29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新课标Ⅱ）敦煌莫高窟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61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号洞中的唐代壁画“五台山图”中有一座“大佛光之寺”，梁思成、林徽因按图索骥，在山西五台山地区发现了其实物﹣﹣佛光寺。这一事例说明此类壁画（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3972560" cy="1857375"/>
            <wp:effectExtent l="0" t="0" r="0" b="0"/>
            <wp:docPr id="10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9" t="-19" r="-9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．创作源于艺术想象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．能完整还原历史真实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．可与文化遗存互证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．价值来自学者的发掘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本题考查史料的重要作用。解题的关键是正确分析两幅图示，抓住关键信息“在山西五台山地区发现了其实物﹣﹣佛光寺”，进而分析得出敦煌莫高窟唐代壁画可与文化遗存互证。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依据左图可知，反映的是敦煌莫高窟唐代壁画“大佛光之寺”；依据右图和材料“在山西五台山地区发现了其实物﹣﹣佛光寺”可以看出敦煌莫高窟唐代壁画“大佛光之寺”与“实物﹣﹣佛光寺”遗址相印证，故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敦煌莫高窟唐代壁画“大佛光之寺”有实物印证，不是艺术想象，故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项夸大了壁画的作用，排除。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这些壁画既具有历史价值，也具有史料价值，其价值不仅仅是来自学者的发掘，故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本题考查对史料的分类和价值作用的把握，旨在考查学生解读材料、获取有效信息、分析理解、运用所学知识解决问题的能力。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30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新课标Ⅰ）据《史记》记载，春秋时期，楚国国君熊通要求提升爵位等级，遭到周桓王拒绝。熊通怒称现在周边地区都归附了楚国，“而王不加位，我自尊耳”“乃自立，为（楚）武王”。这表明当时周朝（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．礼乐制度不复存在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．王位世袭制度消亡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．宗法制度开始解体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．分封制度受到挑战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本题考查西周的分封制和宗法制，解答本题需要学生把握题干关键句“熊通怒称现在周边地区都归附了楚国”，“而王不加位，我自尊耳”可知周王的分封权力受到削弱，周王逐渐失去天下共主地位。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．当时是春秋时期，到战国礼乐制度才真正崩溃；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．中国封建社会仍然延续了王位世袭制，故排除；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．材料主要反映了分封制受到挑战，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项不符合材料主旨；</w:t>
      </w:r>
    </w:p>
    <w:p>
      <w:pPr>
        <w:pStyle w:val="Normal"/>
        <w:spacing w:lineRule="auto" w:line="360"/>
        <w:ind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．根据材料“熊通怒称现在周边地区都归附了楚国”、“而王不加位，我自尊耳”可知，周王的分封权力受到削弱，周王逐渐失去天下共主地位，故选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本题以分封制的瓦解为切入点，考查西周分封制遭到破坏，主要考查把握材料主旨的能力，调动和运用所学的能力。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31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新课标Ⅰ）如图为唐代著名画家阎立本的《步辇图》，描绘了唐太宗李世民接见吐蕃使臣的情景。该作品体现了（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2877185" cy="1971675"/>
            <wp:effectExtent l="0" t="0" r="0" b="0"/>
            <wp:docPr id="11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13" t="-18" r="-13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．西域风情与中土文化的交汇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．文人意趣与市井风情的杂糅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．艺术审美与史料价值的统一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．现实主义与浪漫主义的融合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本题考查中国古代的绘画艺术。解题的关键是正确分析材料和图片，结合《步辇图》描述的内容和反映的历史事件分析。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依据图示，结合所学可知，《步辇图》描绘了唐太宗李世民接见吐蕃使臣禄东赞的情景。画面上唐太宗端坐在由六名宫女抬着的步辇上，另有数名宫女或掌华盖，或持扇。禄东赞身着吐蕃民族流行的联珠纹袍，拱手向唐太宗致敬，生动地刻画出藏族使臣的身份和恭敬、机敏的性格特征。该画线条劲细流畅，色彩浓丽，人物神形兼备均有较高的艺术审美价值；同时《步辇图》描绘了唐太宗李世民接见吐蕃使臣禄东赞的情景，反映的历史事件是文成公主嫁给吐蕃赞普松赞干布，有利于研究唐朝的民族关系，因此具有史料价值。由此可知，阎立本的《步辇图》体现了艺术审美与史料价值的统一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《步辇图》取材于唐贞观八年吐蕃首领松赞干布与文成公主联姻的事件，描绘了唐太宗李世民接见吐蕃使臣禄东赞的情景，不能体现西域风情与中土文化的交汇，也不能体现文人意趣与市井风情的杂糅，故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《步辇图》是写实绘画，不具有浪漫主义的色彩，故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本题考查对《步辇图》及其特点的把握，旨在考查学生解读材料、分析理解、运用所学知识解决问题的能力。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32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新课标Ⅲ）如图为不同时期的部分货币，据图可知，其形制变化的共同原因是（　　）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drawing>
          <wp:inline distT="0" distB="0" distL="0" distR="0">
            <wp:extent cx="4248785" cy="1524000"/>
            <wp:effectExtent l="0" t="0" r="0" b="0"/>
            <wp:docPr id="12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8" t="-24" r="-8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．铸铁技术的进步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．商品交易的需要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．审美观念的不同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．国家统一的推动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本题考查中国古代商业发展情况，要求结合所学知识对图片信息进行正确解读。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商周“贝币”与铁无关，“布币”“五铢钱”有均由铜冶炼制造而成，故排除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；</w:t>
      </w:r>
    </w:p>
    <w:p>
      <w:pPr>
        <w:pStyle w:val="Normal"/>
        <w:spacing w:lineRule="auto" w:line="360"/>
        <w:ind w:left="273" w:right="0"/>
        <w:rPr>
          <w:rFonts w:eastAsia="新宋体;新宋体"/>
          <w:szCs w:val="21"/>
        </w:rPr>
      </w:pPr>
      <w:r>
        <w:rPr>
          <w:rFonts w:eastAsia="新宋体;新宋体" w:cs="新宋体;新宋体" w:ascii="新宋体;新宋体" w:hAnsi="新宋体;新宋体"/>
          <w:szCs w:val="21"/>
        </w:rPr>
        <w:t>“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贝币”源于商品交换；“布币”产生后不断向轻巧型发展，适应了商品经济发展的需要；“五铢钱”便于携带，有利于商品经济的发展，故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是无关项，排除；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战国时期国家并不统一，故排除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本题考查中国古代商业发展情况，旨在考查学生正确解读题干图片信息和分析问题的能力。依据材料结合所学知识可用排除法解决问题，难度适中。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33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新课标Ⅲ）东汉末年，曹操在许下和各地置田官，大力发展屯田，以解决军粮供应、田亩荒芜和流民问题。“数年中所在积粟，仓廪皆满。”曹操实行屯田，客观上（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．助长了大土地所有制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．推动了农业商品化进程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．促进了中原人口南迁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．缓和了社会的主要矛盾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本题考查古代“屯田制”。关键信息有“以解决军粮供应、田亩荒芜和流民问题”“数年中所在积粟，仓廪皆满”等。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知识可知，屯田制成为了国家政权的钱粮收入来源，同时也解决了屯田军民本身的生计问题。据此依据材料“以解决军粮供应、田亩荒芜和流民问题”“数年中所在积粟，仓廪皆满”可知曹操实行屯田，客观上缓和了社会的主要矛盾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说法片面，排除。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题干不能体现，排除。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依据材料“以解决军粮供应、田亩荒芜和流民问题”可知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说法片面，排除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本题考查中国古代土地制度演变情况，旨在考查学生正确解读材料信息和分析问题的能力。依据材料结合所学知识可用排除法解决问题，难度适中。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34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2020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新课标Ⅲ）唐代书法家张旭曾说：“始吾闻公主与担夫争路，而得笔法之意。后见公孙氏舞剑器，而得其神。”据此可知，张旭书法呈现出（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．书写结构的严整性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．书写气象的灵动性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．书写笔画的繁杂性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．书写技法的内敛性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本题考查中国古代的书法艺术。解题的关键是读懂材料的意思，结合张旭草书的特点分析。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材料的意思是开始时，我听说公主与挑夫争着走路而悟得草书笔法的意境，后来观公孙大娘舞剑而悟得草书的神韵，说明张旭书法具有灵动性，故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项是楷书的特征，排除。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材料反映了张旭草书的灵动性，没有体现繁杂性和内敛性，故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两项错误。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本题考查对张旭草书的特点的把握，旨在考查学生解读材料、分析理解、运用所学知识解决问题的能力。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35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浙江）周王将子弟、功臣和臣服的先代贵族分封于各地，“制其畿疆而沟封之”，封国成为王朝的屏障。对此制度解读正确的是（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．周王实现了权力的高度集中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．诸侯在封国享有世袭统治权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．血缘关系是分封的唯一依据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．维持了周朝四百余年的统治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本题主要考查西周的分封制，解题的关键在于准确把握材料主旨，灵活运用所学知识。考生作答时应紧扣材料，抓住材料关键词，并紧密结合所学知识中关于西周的分封制的相关内容进行分析作答。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结合所学知识可知，在分封制下，诸侯在封国享有世袭统治权，并拥有建立武装、征派赋役等权力，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西周尚未实现权力的高度集中，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排除；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分封制的对象主要分为王族、功臣和先代贵族，因此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错误；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周朝存在时间是前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1046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年﹣前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256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年，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排除。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西周的分封制，侧重考查考生灵活运用所学知识，准确把握材料主旨的能力。西周的分封制属于考试重点内容，考生平时应加强相关习题的练习，不断总结相关知识点，提高自己的理解能力和解题能力。</w:t>
      </w:r>
    </w:p>
    <w:p>
      <w:pPr>
        <w:pStyle w:val="Normal"/>
        <w:spacing w:lineRule="auto" w:line="360"/>
        <w:ind w:hanging="273" w:left="273" w:right="0"/>
        <w:rPr>
          <w:rFonts w:eastAsia="新宋体;新宋体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36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浙江）春秋战国时期民本思想的主要内涵有：在人与自然关系方面，突出人的地位；在社会关系方面，强调民的作用。下列观点中，对应两者的是（　　）</w:t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．“齐物”；“逍遥”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．“天行有常”；“仁政”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．“法古无过，循礼无邪”；“非攻”</w:t>
      </w:r>
      <w:r>
        <w:rPr/>
        <w:tab/>
      </w:r>
    </w:p>
    <w:p>
      <w:pPr>
        <w:pStyle w:val="Normal"/>
        <w:spacing w:lineRule="auto" w:line="360"/>
        <w:ind w:firstLine="273" w:right="0"/>
        <w:jc w:val="left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．“制天命而用之”；“民为贵，社稷次之，君为轻”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本题主要考查百家争鸣，解题的关键在于准确把握材料主旨，灵活运用所学知识。考生作答时应紧扣材料，抓住材料关键词，并紧密结合所学知识中关于百家争鸣的相关内容进行分析作答。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在人与自然关系方面，突出人的地位指的是荀子的主张“制天命而用之”；在社会关系方面，强调民的作用，指的是孟子的主张“民为贵，社稷次之，君为轻”。故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项正确；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是道家的，排除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天行有常没有突出人的地位，排除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是法家与墨家的主张，不符合题意。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本题主要考查百家争鸣，侧重考查考生灵活运用所学知识，准确把握材料主旨的能力。百家争鸣属于考试重点内容，考生平时应加强相关习题的练习，不断总结相关知识点，提高自己的理解能力和解题能力。</w:t>
      </w:r>
    </w:p>
    <w:p>
      <w:pPr>
        <w:pStyle w:val="Normal"/>
        <w:spacing w:lineRule="auto" w:line="360"/>
        <w:ind w:hanging="273" w:left="273" w:right="0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37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．（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2021</w:t>
      </w:r>
      <w:r>
        <w:rPr>
          <w:rFonts w:eastAsia="新宋体;新宋体" w:cs="新宋体;新宋体" w:ascii="新宋体;新宋体" w:hAnsi="新宋体;新宋体"/>
          <w:szCs w:val="21"/>
        </w:rPr>
        <w:t>•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浙江）某博物馆收藏了一批古代铜镜，上有铭文：“郡举孝廉州博士，少不努力老大悔”“孝言之始孝为右”“居必忠必信”等。从这些铭文中无法确切获取的历史信息是（　　）</w:t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A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．郡县制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．察举制</w:t>
      </w:r>
      <w:r>
        <w:rPr/>
        <w:tab/>
      </w:r>
    </w:p>
    <w:p>
      <w:pPr>
        <w:pStyle w:val="Normal"/>
        <w:tabs>
          <w:tab w:val="clear" w:pos="420"/>
          <w:tab w:val="left" w:pos="4400" w:leader="none"/>
        </w:tabs>
        <w:spacing w:lineRule="auto" w:line="360"/>
        <w:ind w:firstLine="273" w:right="0"/>
        <w:jc w:val="left"/>
        <w:rPr/>
      </w:pP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．铜镜制造于西汉</w:t>
      </w:r>
      <w:r>
        <w:rPr/>
        <w:tab/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D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．宣扬儒家伦理思想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【分析】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史料的重要作用、史学研究的基本方法，解题的关键在于准确把握材料主旨，灵活运用所学知识。考生作答时应紧扣材料，抓住材料关键词，并紧密结合所学知识中关于史料的重要作用、史学研究的基本方法的相关内容进行分析作答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【解答】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结合所学知识可知，材料“郡举孝廉州博士“可提取当时西汉推行郡县制和察举制，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AB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不符合题意；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材料“孝言之始孝为右“体现的是对儒家思想的宣传，不符合题意；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仅从材料信息是无法推出铜镜的制造准确时间，因此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符合题意。</w:t>
      </w:r>
    </w:p>
    <w:p>
      <w:pPr>
        <w:pStyle w:val="Normal"/>
        <w:spacing w:lineRule="auto" w:line="360"/>
        <w:ind w:left="273" w:right="0"/>
        <w:rPr>
          <w:rFonts w:ascii="Times New Roman;Times New Roman" w:hAnsi="Times New Roman;Times New Roman" w:eastAsia="新宋体;新宋体" w:cs="Times New Roman;Times New Roman"/>
          <w:szCs w:val="21"/>
        </w:rPr>
      </w:pPr>
      <w:r>
        <w:rPr>
          <w:rFonts w:ascii="Times New Roman;Times New Roman" w:hAnsi="Times New Roman;Times New Roman" w:cs="Times New Roman;Times New Roman" w:eastAsia="新宋体;新宋体"/>
          <w:szCs w:val="21"/>
        </w:rPr>
        <w:t>故选：</w:t>
      </w:r>
      <w:r>
        <w:rPr>
          <w:rFonts w:eastAsia="新宋体;新宋体" w:cs="Times New Roman;Times New Roman" w:ascii="Times New Roman;Times New Roman" w:hAnsi="Times New Roman;Times New Roman"/>
          <w:szCs w:val="21"/>
        </w:rPr>
        <w:t>C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。</w:t>
      </w:r>
    </w:p>
    <w:p>
      <w:pPr>
        <w:pStyle w:val="Normal"/>
        <w:spacing w:lineRule="auto" w:line="360"/>
        <w:ind w:left="273" w:right="0"/>
        <w:rPr/>
      </w:pPr>
      <w:r>
        <w:rPr>
          <w:rFonts w:ascii="Times New Roman;Times New Roman" w:hAnsi="Times New Roman;Times New Roman" w:cs="Times New Roman;Times New Roman" w:eastAsia="新宋体;新宋体"/>
          <w:color w:val="0000FF"/>
          <w:szCs w:val="21"/>
        </w:rPr>
        <w:t>【点评】</w:t>
      </w:r>
      <w:r>
        <w:rPr>
          <w:rFonts w:ascii="Times New Roman;Times New Roman" w:hAnsi="Times New Roman;Times New Roman" w:cs="Times New Roman;Times New Roman" w:eastAsia="新宋体;新宋体"/>
          <w:szCs w:val="21"/>
        </w:rPr>
        <w:t>本题主要考查史料的重要作用、史学研究的基本方法，侧重考查考生灵活运用所学知识，准确把握材料主旨的能力。史料的重要作用、史学研究的基本方法属于考试重点内容，考生平时应加强相关习题的练习，不断总结相关知识点，提高自己的理解能力和解题能力。</w:t>
      </w:r>
    </w:p>
    <w:p>
      <w:pPr>
        <w:pStyle w:val="Normal"/>
        <w:spacing w:lineRule="auto" w:line="360"/>
        <w:rPr>
          <w:rFonts w:ascii="Times New Roman;Times New Roman" w:hAnsi="Times New Roman;Times New Roman" w:eastAsia="新宋体;新宋体" w:cs="Times New Roman;Times New Roman"/>
          <w:color w:val="FFFFFF"/>
          <w:sz w:val="1"/>
          <w:szCs w:val="1"/>
        </w:rPr>
      </w:pPr>
      <w:r>
        <w:rPr>
          <w:rFonts w:ascii="Times New Roman;Times New Roman" w:hAnsi="Times New Roman;Times New Roman" w:cs="Times New Roman;Times New Roman" w:eastAsia="新宋体;新宋体"/>
          <w:color w:val="FFFFFF"/>
          <w:sz w:val="1"/>
          <w:szCs w:val="1"/>
        </w:rPr>
        <w:t>声明：试题解析著作权属菁优网所有，未经书面同意，不得复制发布</w:t>
      </w:r>
    </w:p>
    <w:p>
      <w:pPr>
        <w:pStyle w:val="Normal"/>
        <w:spacing w:lineRule="auto" w:line="360"/>
        <w:rPr/>
      </w:pPr>
      <w:r>
        <w:rPr>
          <w:rFonts w:ascii="Times New Roman;Times New Roman" w:hAnsi="Times New Roman;Times New Roman" w:cs="Times New Roman;Times New Roman" w:eastAsia="新宋体;新宋体"/>
          <w:color w:val="FFFFFF"/>
          <w:sz w:val="1"/>
          <w:szCs w:val="1"/>
        </w:rPr>
        <w:t>日期：</w:t>
      </w:r>
      <w:r>
        <w:rPr>
          <w:rFonts w:eastAsia="新宋体;新宋体" w:cs="Times New Roman;Times New Roman" w:ascii="Times New Roman;Times New Roman" w:hAnsi="Times New Roman;Times New Roman"/>
          <w:color w:val="FFFFFF"/>
          <w:sz w:val="1"/>
          <w:szCs w:val="1"/>
        </w:rPr>
        <w:t>2021/2/15 17:18:20</w:t>
      </w:r>
      <w:r>
        <w:rPr>
          <w:rFonts w:ascii="Times New Roman;Times New Roman" w:hAnsi="Times New Roman;Times New Roman" w:cs="Times New Roman;Times New Roman" w:eastAsia="新宋体;新宋体"/>
          <w:color w:val="FFFFFF"/>
          <w:sz w:val="1"/>
          <w:szCs w:val="1"/>
        </w:rPr>
        <w:t>；用户：高中历史；邮箱：</w:t>
      </w:r>
      <w:r>
        <w:rPr>
          <w:rFonts w:eastAsia="新宋体;新宋体" w:cs="Times New Roman;Times New Roman" w:ascii="Times New Roman;Times New Roman" w:hAnsi="Times New Roman;Times New Roman"/>
          <w:color w:val="FFFFFF"/>
          <w:sz w:val="1"/>
          <w:szCs w:val="1"/>
        </w:rPr>
        <w:t>ydyd20@xyh.com</w:t>
      </w:r>
      <w:r>
        <w:rPr>
          <w:rFonts w:ascii="Times New Roman;Times New Roman" w:hAnsi="Times New Roman;Times New Roman" w:cs="Times New Roman;Times New Roman" w:eastAsia="新宋体;新宋体"/>
          <w:color w:val="FFFFFF"/>
          <w:sz w:val="1"/>
          <w:szCs w:val="1"/>
        </w:rPr>
        <w:t>；学号：</w:t>
      </w:r>
      <w:r>
        <w:rPr>
          <w:rFonts w:eastAsia="新宋体;新宋体" w:cs="Times New Roman;Times New Roman" w:ascii="Times New Roman;Times New Roman" w:hAnsi="Times New Roman;Times New Roman"/>
          <w:color w:val="FFFFFF"/>
          <w:sz w:val="1"/>
          <w:szCs w:val="1"/>
        </w:rPr>
        <w:t>22260299</w:t>
      </w:r>
    </w:p>
    <w:p>
      <w:pPr>
        <w:pStyle w:val="Normal"/>
        <w:spacing w:lineRule="auto" w:line="360"/>
        <w:ind w:left="273" w:right="0"/>
        <w:rPr>
          <w:rFonts w:eastAsia="Calibri;Calibri" w:cs="Calibri;Calibri"/>
        </w:rPr>
      </w:pPr>
      <w:r>
        <w:rPr>
          <w:rFonts w:eastAsia="Calibri;Calibri" w:cs="Calibri;Calibri"/>
        </w:rPr>
        <w:t xml:space="preserve"> </w:t>
      </w:r>
    </w:p>
    <w:sectPr>
      <w:headerReference w:type="default" r:id="rId14"/>
      <w:footerReference w:type="default" r:id="rId15"/>
      <w:type w:val="nextPage"/>
      <w:pgSz w:orient="landscape" w:w="11906" w:h="16838"/>
      <w:pgMar w:left="1800" w:right="1800" w:gutter="0" w:header="851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0"/>
    <w:family w:val="roman"/>
    <w:pitch w:val="variable"/>
  </w:font>
  <w:font w:name="新宋体">
    <w:charset w:val="01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>第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34</w:t>
    </w:r>
    <w:r>
      <w:rPr>
        <w:sz w:val="24"/>
        <w:b/>
        <w:szCs w:val="24"/>
        <w:bCs/>
      </w:rPr>
      <w:fldChar w:fldCharType="end"/>
    </w:r>
    <w:r>
      <w:rPr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34</w:t>
    </w:r>
    <w:r>
      <w:rPr>
        <w:sz w:val="24"/>
        <w:b/>
        <w:szCs w:val="24"/>
        <w:bCs/>
      </w:rPr>
      <w:fldChar w:fldCharType="end"/>
    </w:r>
    <w:r>
      <w:rPr/>
      <w:t>页）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Cs w:val="21"/>
      </w:rPr>
    </w:pPr>
    <w:r>
      <w:rPr>
        <w:szCs w:val="21"/>
      </w:rPr>
    </w:r>
  </w:p>
  <w:p>
    <w:pPr>
      <w:pStyle w:val="Normal"/>
      <w:rPr>
        <w:szCs w:val="21"/>
      </w:rPr>
    </w:pPr>
    <w:r>
      <w:rPr>
        <w:szCs w:val="21"/>
      </w:rPr>
    </w:r>
  </w:p>
  <w:p>
    <w:pPr>
      <w:pStyle w:val="Header"/>
      <w:pBdr>
        <w:bottom w:val="nil"/>
      </w:pBdr>
      <w:tabs>
        <w:tab w:val="clear" w:pos="4153"/>
        <w:tab w:val="right" w:pos="8306" w:leader="none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;Calibri" w:hAnsi="Calibri;Calibri" w:eastAsia="宋体;SimSun" w:cs="Times New Roman;Times New Roman"/>
      <w:color w:val="auto"/>
      <w:kern w:val="2"/>
      <w:sz w:val="21"/>
      <w:szCs w:val="22"/>
      <w:lang w:val="en-US" w:eastAsia="zh-CN" w:bidi="ar-SA"/>
    </w:rPr>
  </w:style>
  <w:style w:type="character" w:styleId="Style14">
    <w:name w:val="默认段落字体"/>
    <w:qFormat/>
    <w:rPr>
      <w:rFonts w:ascii="Calibri;Calibri" w:hAnsi="Calibri;Calibri" w:eastAsia="宋体;SimSun" w:cs="Times New Roman;Times New Roman"/>
    </w:rPr>
  </w:style>
  <w:style w:type="character" w:styleId="Char">
    <w:name w:val="页眉 Char"/>
    <w:qFormat/>
    <w:rPr>
      <w:rFonts w:ascii="Calibri;Calibri" w:hAnsi="Calibri;Calibri" w:eastAsia="宋体;SimSun" w:cs="Times New Roman;Times New Roman"/>
      <w:sz w:val="18"/>
      <w:szCs w:val="18"/>
    </w:rPr>
  </w:style>
  <w:style w:type="character" w:styleId="Char1">
    <w:name w:val="页脚 Char"/>
    <w:qFormat/>
    <w:rPr>
      <w:rFonts w:ascii="Calibri;Calibri" w:hAnsi="Calibri;Calibri" w:eastAsia="宋体;SimSun" w:cs="Times New Roman;Times New Roman"/>
      <w:sz w:val="18"/>
      <w:szCs w:val="18"/>
    </w:rPr>
  </w:style>
  <w:style w:type="character" w:styleId="Char2">
    <w:name w:val="批注框文本 Char"/>
    <w:qFormat/>
    <w:rPr>
      <w:rFonts w:ascii="Calibri;Calibri" w:hAnsi="Calibri;Calibri" w:eastAsia="宋体;SimSun" w:cs="Times New Roman;Times New Roman"/>
      <w:sz w:val="18"/>
      <w:szCs w:val="18"/>
    </w:rPr>
  </w:style>
  <w:style w:type="character" w:styleId="Hyperlink">
    <w:name w:val="Hyperlink"/>
    <w:rPr>
      <w:rFonts w:ascii="Calibri;Calibri" w:hAnsi="Calibri;Calibri" w:eastAsia="宋体;SimSun" w:cs="Times New Roman;Times New Roman"/>
      <w:color w:val="0000FF"/>
      <w:u w:val="single"/>
    </w:rPr>
  </w:style>
  <w:style w:type="character" w:styleId="Char3">
    <w:name w:val="无间隔 Char"/>
    <w:qFormat/>
    <w:rPr>
      <w:rFonts w:ascii="Calibri;Calibri" w:hAnsi="Calibri;Calibri" w:eastAsia="宋体;SimSun" w:cs="Times New Roman;Times New Roman"/>
      <w:kern w:val="0"/>
      <w:sz w:val="22"/>
    </w:rPr>
  </w:style>
  <w:style w:type="character" w:styleId="Style15">
    <w:name w:val="占位符文本"/>
    <w:qFormat/>
    <w:rPr>
      <w:rFonts w:ascii="Calibri;Calibri" w:hAnsi="Calibri;Calibri" w:eastAsia="宋体;SimSun" w:cs="Times New Roman;Times New Roman"/>
      <w:color w:val="808080"/>
    </w:rPr>
  </w:style>
  <w:style w:type="character" w:styleId="Char4">
    <w:name w:val="日期 Char"/>
    <w:basedOn w:val="Style14"/>
    <w:qFormat/>
    <w:rPr>
      <w:rFonts w:ascii="Calibri;Calibri" w:hAnsi="Calibri;Calibri" w:eastAsia="宋体;SimSun" w:cs="Times New Roman;Times New Roma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ascii="Calibri;Calibri" w:hAnsi="Calibri;Calibri" w:eastAsia="宋体;SimSun" w:cs="Times New Roman;Times New Roman"/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rFonts w:ascii="Calibri;Calibri" w:hAnsi="Calibri;Calibri" w:eastAsia="宋体;SimSun" w:cs="Times New Roman;Times New Roman"/>
      <w:sz w:val="18"/>
      <w:szCs w:val="18"/>
    </w:rPr>
  </w:style>
  <w:style w:type="paragraph" w:styleId="Style16">
    <w:name w:val="批注框文本"/>
    <w:basedOn w:val="Normal"/>
    <w:qFormat/>
    <w:pPr/>
    <w:rPr>
      <w:rFonts w:ascii="Calibri;Calibri" w:hAnsi="Calibri;Calibri" w:eastAsia="宋体;SimSun" w:cs="Times New Roman;Times New Roman"/>
      <w:sz w:val="18"/>
      <w:szCs w:val="18"/>
    </w:rPr>
  </w:style>
  <w:style w:type="paragraph" w:styleId="Style17">
    <w:name w:val="无间隔"/>
    <w:qFormat/>
    <w:pPr>
      <w:widowControl/>
      <w:bidi w:val="0"/>
    </w:pPr>
    <w:rPr>
      <w:rFonts w:ascii="Calibri;Calibri" w:hAnsi="Calibri;Calibri" w:eastAsia="宋体;SimSun" w:cs="Times New Roman;Times New Roman"/>
      <w:color w:val="auto"/>
      <w:sz w:val="22"/>
      <w:szCs w:val="22"/>
      <w:lang w:val="en-US" w:eastAsia="zh-CN" w:bidi="ar-SA"/>
    </w:rPr>
  </w:style>
  <w:style w:type="paragraph" w:styleId="Style18">
    <w:name w:val="日期"/>
    <w:basedOn w:val="Normal"/>
    <w:next w:val="Normal"/>
    <w:qFormat/>
    <w:pPr>
      <w:ind w:hanging="0" w:left="100" w:right="0"/>
    </w:pPr>
    <w:rPr>
      <w:rFonts w:ascii="Calibri;Calibri" w:hAnsi="Calibri;Calibri" w:eastAsia="宋体;SimSun" w:cs="Times New Roman;Times New Roman"/>
    </w:rPr>
  </w:style>
  <w:style w:type="paragraph" w:styleId="DefaultParagraph">
    <w:name w:val="DefaultParagraph"/>
    <w:qFormat/>
    <w:pPr>
      <w:widowControl/>
      <w:bidi w:val="0"/>
    </w:pPr>
    <w:rPr>
      <w:rFonts w:ascii="Times New Roman;Times New Roman" w:hAnsi="Times New Roman;Times New Roman" w:eastAsia="宋体;SimSun" w:cs="Times New Roman;Times New Roman"/>
      <w:color w:val="auto"/>
      <w:kern w:val="2"/>
      <w:sz w:val="21"/>
      <w:szCs w:val="22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2021-04-01T15:41:00Z</dcterms:created>
  <dc:creator>©2010-2021 jyeoo.com</dc:creator>
  <dc:description/>
  <cp:keywords>jyeoo 菁优网</cp:keywords>
  <dc:language>en-US</dc:language>
  <cp:lastModifiedBy>vivo Y67A</cp:lastModifiedBy>
  <cp:lastPrinted>2021-02-16T01:18:00Z</cp:lastPrinted>
  <dcterms:modified xsi:type="dcterms:W3CDTF">2021-04-01T15:41:00Z</dcterms:modified>
  <cp:revision>2</cp:revision>
  <dc:subject/>
  <dc:title>先秦——唐朝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b63d0e111ae64cf7b63a699b40f0f402</vt:lpwstr>
  </property>
</Properties>
</file>